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6FF10CDC" w:rsidR="0019780D" w:rsidRPr="00ED2AB5" w:rsidRDefault="00EB458C" w:rsidP="00ED2AB5">
      <w:pPr>
        <w:pStyle w:val="Body"/>
        <w:jc w:val="both"/>
        <w:rPr>
          <w:rFonts w:cs="Times New Roman"/>
          <w:b/>
          <w:bCs/>
        </w:rPr>
      </w:pPr>
      <w:r>
        <w:rPr>
          <w:rFonts w:cs="Times New Roman"/>
          <w:b/>
          <w:bCs/>
        </w:rPr>
        <w:t>Erkki Keldo</w:t>
      </w:r>
      <w:r w:rsidR="0019780D" w:rsidRPr="00ED2AB5">
        <w:rPr>
          <w:rFonts w:cs="Times New Roman"/>
          <w:b/>
          <w:bCs/>
        </w:rPr>
        <w:tab/>
      </w:r>
      <w:r w:rsidR="0019780D" w:rsidRPr="00ED2AB5">
        <w:rPr>
          <w:rFonts w:cs="Times New Roman"/>
          <w:b/>
          <w:bCs/>
        </w:rPr>
        <w:tab/>
      </w:r>
      <w:r w:rsidR="0019780D" w:rsidRPr="00ED2AB5">
        <w:rPr>
          <w:rFonts w:cs="Times New Roman"/>
          <w:b/>
          <w:bCs/>
        </w:rPr>
        <w:tab/>
      </w:r>
      <w:r w:rsidR="0019780D" w:rsidRPr="00ED2AB5">
        <w:rPr>
          <w:rFonts w:cs="Times New Roman"/>
          <w:b/>
          <w:bCs/>
        </w:rPr>
        <w:tab/>
      </w:r>
    </w:p>
    <w:p w14:paraId="6CA565AF" w14:textId="64F8DE78" w:rsidR="0019780D" w:rsidRPr="00ED2AB5" w:rsidRDefault="00EB458C" w:rsidP="00ED2AB5">
      <w:pPr>
        <w:pStyle w:val="Body"/>
        <w:jc w:val="both"/>
        <w:rPr>
          <w:rFonts w:cs="Times New Roman"/>
          <w:bCs/>
          <w:color w:val="auto"/>
        </w:rPr>
      </w:pPr>
      <w:r>
        <w:rPr>
          <w:rFonts w:cs="Times New Roman"/>
        </w:rPr>
        <w:t>Majandus- ja tööstusminister</w:t>
      </w:r>
      <w:r w:rsidR="0019780D" w:rsidRPr="00ED2AB5">
        <w:rPr>
          <w:rFonts w:cs="Times New Roman"/>
          <w:b/>
          <w:bCs/>
        </w:rPr>
        <w:t xml:space="preserve">                                                     </w:t>
      </w:r>
      <w:r w:rsidR="0019780D" w:rsidRPr="00ED2AB5">
        <w:rPr>
          <w:rFonts w:cs="Times New Roman"/>
          <w:bCs/>
          <w:color w:val="auto"/>
        </w:rPr>
        <w:t xml:space="preserve">Teie </w:t>
      </w:r>
      <w:r w:rsidR="002A6065">
        <w:rPr>
          <w:rFonts w:cs="Times New Roman"/>
          <w:bCs/>
          <w:color w:val="auto"/>
        </w:rPr>
        <w:t>18.05</w:t>
      </w:r>
      <w:r w:rsidR="00D9321E">
        <w:rPr>
          <w:rFonts w:cs="Times New Roman"/>
          <w:bCs/>
          <w:color w:val="auto"/>
        </w:rPr>
        <w:t>.2026</w:t>
      </w:r>
      <w:r w:rsidR="00FA1AC9" w:rsidRPr="00ED2AB5">
        <w:rPr>
          <w:rFonts w:cs="Times New Roman"/>
          <w:bCs/>
          <w:color w:val="auto"/>
        </w:rPr>
        <w:t xml:space="preserve"> </w:t>
      </w:r>
      <w:r w:rsidR="00351797">
        <w:rPr>
          <w:rFonts w:cs="Times New Roman"/>
          <w:bCs/>
          <w:color w:val="auto"/>
        </w:rPr>
        <w:t>nr 2-2/849-1</w:t>
      </w:r>
      <w:r w:rsidR="002A6065">
        <w:rPr>
          <w:rFonts w:cs="Times New Roman"/>
          <w:bCs/>
          <w:color w:val="auto"/>
        </w:rPr>
        <w:t>2</w:t>
      </w:r>
    </w:p>
    <w:p w14:paraId="203AD6B3" w14:textId="2027F2B6" w:rsidR="0019780D" w:rsidRPr="00ED2AB5" w:rsidRDefault="00EB458C" w:rsidP="00ED2AB5">
      <w:pPr>
        <w:pStyle w:val="Body"/>
        <w:jc w:val="both"/>
        <w:rPr>
          <w:rFonts w:eastAsia="Times New Roman" w:cs="Times New Roman"/>
          <w:bCs/>
        </w:rPr>
      </w:pPr>
      <w:r>
        <w:rPr>
          <w:rFonts w:cs="Times New Roman"/>
        </w:rPr>
        <w:t>Majandus- ja Kommunikatsiooniministeerium</w:t>
      </w:r>
      <w:r w:rsidR="0019780D" w:rsidRPr="00ED2AB5">
        <w:rPr>
          <w:rFonts w:cs="Times New Roman"/>
        </w:rPr>
        <w:t xml:space="preserve">                          </w:t>
      </w:r>
      <w:r w:rsidR="0019780D" w:rsidRPr="00ED2AB5">
        <w:rPr>
          <w:rFonts w:eastAsia="Times New Roman" w:cs="Times New Roman"/>
          <w:bCs/>
        </w:rPr>
        <w:t xml:space="preserve">Meie </w:t>
      </w:r>
      <w:r w:rsidR="00BA5B4E">
        <w:rPr>
          <w:rFonts w:eastAsia="Times New Roman" w:cs="Times New Roman"/>
          <w:bCs/>
        </w:rPr>
        <w:t>2</w:t>
      </w:r>
      <w:r>
        <w:rPr>
          <w:rFonts w:eastAsia="Times New Roman" w:cs="Times New Roman"/>
          <w:bCs/>
        </w:rPr>
        <w:t>7</w:t>
      </w:r>
      <w:r w:rsidR="00BA5B4E">
        <w:rPr>
          <w:rFonts w:eastAsia="Times New Roman" w:cs="Times New Roman"/>
          <w:bCs/>
        </w:rPr>
        <w:t>.0</w:t>
      </w:r>
      <w:r w:rsidR="002A6065">
        <w:rPr>
          <w:rFonts w:eastAsia="Times New Roman" w:cs="Times New Roman"/>
          <w:bCs/>
        </w:rPr>
        <w:t>5</w:t>
      </w:r>
      <w:r w:rsidR="00BA5B4E">
        <w:rPr>
          <w:rFonts w:eastAsia="Times New Roman" w:cs="Times New Roman"/>
          <w:bCs/>
        </w:rPr>
        <w:t>.2026</w:t>
      </w:r>
      <w:r w:rsidR="0019780D" w:rsidRPr="00ED2AB5">
        <w:rPr>
          <w:rFonts w:eastAsia="Times New Roman" w:cs="Times New Roman"/>
          <w:bCs/>
        </w:rPr>
        <w:t xml:space="preserve"> nr 1-8/</w:t>
      </w:r>
      <w:r w:rsidR="00B0396F" w:rsidRPr="00ED2AB5">
        <w:rPr>
          <w:rFonts w:eastAsia="Times New Roman" w:cs="Times New Roman"/>
          <w:bCs/>
        </w:rPr>
        <w:t>2</w:t>
      </w:r>
      <w:r>
        <w:rPr>
          <w:rFonts w:eastAsia="Times New Roman" w:cs="Times New Roman"/>
          <w:bCs/>
        </w:rPr>
        <w:t>6</w:t>
      </w:r>
      <w:r w:rsidR="00B0396F" w:rsidRPr="00ED2AB5">
        <w:rPr>
          <w:rFonts w:eastAsia="Times New Roman" w:cs="Times New Roman"/>
          <w:bCs/>
        </w:rPr>
        <w:t>/</w:t>
      </w:r>
      <w:r w:rsidR="000E6789">
        <w:rPr>
          <w:rFonts w:eastAsia="Times New Roman" w:cs="Times New Roman"/>
          <w:bCs/>
        </w:rPr>
        <w:t>65</w:t>
      </w:r>
      <w:r>
        <w:rPr>
          <w:rFonts w:eastAsia="Times New Roman" w:cs="Times New Roman"/>
          <w:bCs/>
        </w:rPr>
        <w:t>-1</w:t>
      </w:r>
    </w:p>
    <w:p w14:paraId="6E184BEF" w14:textId="37537D4E" w:rsidR="00995853" w:rsidRPr="00ED2AB5" w:rsidRDefault="00995853" w:rsidP="00ED2AB5">
      <w:pPr>
        <w:pStyle w:val="Body"/>
        <w:jc w:val="both"/>
        <w:rPr>
          <w:rFonts w:eastAsia="Times New Roman" w:cs="Times New Roman"/>
          <w:bCs/>
        </w:rPr>
      </w:pPr>
      <w:r w:rsidRPr="00ED2AB5">
        <w:rPr>
          <w:rFonts w:eastAsia="Times New Roman" w:cs="Times New Roman"/>
          <w:bCs/>
        </w:rPr>
        <w:t>info@</w:t>
      </w:r>
      <w:r w:rsidR="009B3C33">
        <w:rPr>
          <w:rFonts w:eastAsia="Times New Roman" w:cs="Times New Roman"/>
          <w:bCs/>
        </w:rPr>
        <w:t>mkm.ee</w:t>
      </w:r>
    </w:p>
    <w:p w14:paraId="3F30D34B" w14:textId="1166BAC3" w:rsidR="0019780D" w:rsidRPr="00ED2AB5" w:rsidRDefault="009B3C33" w:rsidP="00ED2AB5">
      <w:pPr>
        <w:pStyle w:val="Body"/>
        <w:jc w:val="both"/>
        <w:rPr>
          <w:rFonts w:cs="Times New Roman"/>
        </w:rPr>
      </w:pPr>
      <w:r>
        <w:rPr>
          <w:rFonts w:cs="Times New Roman"/>
        </w:rPr>
        <w:t>johannvootele.maevere@mkm.ee</w:t>
      </w:r>
    </w:p>
    <w:p w14:paraId="4F26BD09" w14:textId="77777777" w:rsidR="0019780D" w:rsidRPr="00ED2AB5" w:rsidRDefault="0019780D" w:rsidP="00ED2AB5">
      <w:pPr>
        <w:widowControl/>
        <w:suppressAutoHyphens w:val="0"/>
        <w:jc w:val="both"/>
        <w:rPr>
          <w:color w:val="auto"/>
          <w:szCs w:val="24"/>
        </w:rPr>
      </w:pPr>
    </w:p>
    <w:p w14:paraId="1C2EE57A" w14:textId="77777777" w:rsidR="0019780D" w:rsidRPr="00ED2AB5" w:rsidRDefault="0019780D" w:rsidP="00ED2AB5">
      <w:pPr>
        <w:widowControl/>
        <w:suppressAutoHyphens w:val="0"/>
        <w:jc w:val="both"/>
        <w:rPr>
          <w:szCs w:val="24"/>
        </w:rPr>
      </w:pP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p>
    <w:p w14:paraId="4E263FAD" w14:textId="6CACA612" w:rsidR="0019780D" w:rsidRPr="00ED2AB5" w:rsidRDefault="009B3C33" w:rsidP="00ED2AB5">
      <w:pPr>
        <w:tabs>
          <w:tab w:val="left" w:pos="0"/>
        </w:tabs>
        <w:jc w:val="both"/>
        <w:rPr>
          <w:b/>
          <w:bCs/>
          <w:szCs w:val="24"/>
        </w:rPr>
      </w:pPr>
      <w:r>
        <w:rPr>
          <w:b/>
          <w:bCs/>
          <w:szCs w:val="24"/>
        </w:rPr>
        <w:t>Platvormitöö seaduse eelnõu</w:t>
      </w:r>
    </w:p>
    <w:p w14:paraId="2C65BF31" w14:textId="77777777" w:rsidR="0019780D" w:rsidRPr="00ED2AB5" w:rsidRDefault="0019780D" w:rsidP="00ED2AB5">
      <w:pPr>
        <w:tabs>
          <w:tab w:val="left" w:pos="0"/>
        </w:tabs>
        <w:jc w:val="both"/>
        <w:rPr>
          <w:b/>
          <w:bCs/>
          <w:szCs w:val="24"/>
        </w:rPr>
      </w:pPr>
    </w:p>
    <w:p w14:paraId="5664917E" w14:textId="77777777" w:rsidR="0019780D" w:rsidRPr="00ED2AB5" w:rsidRDefault="0019780D" w:rsidP="00ED2AB5">
      <w:pPr>
        <w:tabs>
          <w:tab w:val="left" w:pos="0"/>
        </w:tabs>
        <w:jc w:val="both"/>
        <w:rPr>
          <w:szCs w:val="24"/>
        </w:rPr>
      </w:pPr>
    </w:p>
    <w:p w14:paraId="6B2E6EAE" w14:textId="7753EBA4" w:rsidR="0019780D" w:rsidRPr="00ED2AB5" w:rsidRDefault="0019780D" w:rsidP="00ED2AB5">
      <w:pPr>
        <w:tabs>
          <w:tab w:val="left" w:pos="0"/>
        </w:tabs>
        <w:jc w:val="both"/>
        <w:rPr>
          <w:szCs w:val="24"/>
        </w:rPr>
      </w:pPr>
      <w:r w:rsidRPr="00ED2AB5">
        <w:rPr>
          <w:szCs w:val="24"/>
        </w:rPr>
        <w:t xml:space="preserve">Lugupeetud </w:t>
      </w:r>
      <w:r w:rsidR="009B3C33">
        <w:rPr>
          <w:szCs w:val="24"/>
        </w:rPr>
        <w:t>Erkki Keldo</w:t>
      </w:r>
    </w:p>
    <w:p w14:paraId="6F58F63B" w14:textId="77777777" w:rsidR="0019780D" w:rsidRPr="00ED2AB5" w:rsidRDefault="0019780D" w:rsidP="00ED2AB5">
      <w:pPr>
        <w:tabs>
          <w:tab w:val="left" w:pos="0"/>
        </w:tabs>
        <w:jc w:val="both"/>
        <w:rPr>
          <w:szCs w:val="24"/>
        </w:rPr>
      </w:pPr>
    </w:p>
    <w:p w14:paraId="523F83C5" w14:textId="774E1D13" w:rsidR="00E754D0" w:rsidRDefault="009B3C33" w:rsidP="00ED2AB5">
      <w:pPr>
        <w:jc w:val="both"/>
        <w:rPr>
          <w:szCs w:val="24"/>
        </w:rPr>
      </w:pPr>
      <w:r>
        <w:rPr>
          <w:szCs w:val="24"/>
        </w:rPr>
        <w:t xml:space="preserve">Täname, et olete Eesti Advokatuurile </w:t>
      </w:r>
      <w:r w:rsidR="000E6789">
        <w:rPr>
          <w:szCs w:val="24"/>
        </w:rPr>
        <w:t xml:space="preserve">teistkordselt </w:t>
      </w:r>
      <w:r>
        <w:rPr>
          <w:szCs w:val="24"/>
        </w:rPr>
        <w:t xml:space="preserve">arvamuse avaldamiseks edastanud </w:t>
      </w:r>
      <w:r w:rsidR="003F69CE">
        <w:rPr>
          <w:szCs w:val="24"/>
        </w:rPr>
        <w:t>platvormitöö seaduse eelnõu.</w:t>
      </w:r>
      <w:r w:rsidR="009E4B65" w:rsidRPr="00B2329B">
        <w:rPr>
          <w:szCs w:val="24"/>
        </w:rPr>
        <w:t xml:space="preserve"> </w:t>
      </w:r>
      <w:r w:rsidR="00F153A3" w:rsidRPr="00ED2AB5">
        <w:rPr>
          <w:szCs w:val="24"/>
        </w:rPr>
        <w:t xml:space="preserve">Esitame teile </w:t>
      </w:r>
      <w:r w:rsidR="00E95429" w:rsidRPr="00ED2AB5">
        <w:rPr>
          <w:szCs w:val="24"/>
        </w:rPr>
        <w:t xml:space="preserve">advokatuuri </w:t>
      </w:r>
      <w:r w:rsidR="003F69CE">
        <w:rPr>
          <w:szCs w:val="24"/>
        </w:rPr>
        <w:t xml:space="preserve">tööõiguse </w:t>
      </w:r>
      <w:r w:rsidR="00E95429" w:rsidRPr="00ED2AB5">
        <w:rPr>
          <w:szCs w:val="24"/>
        </w:rPr>
        <w:t xml:space="preserve">komisjoni </w:t>
      </w:r>
      <w:r w:rsidR="008F35E4">
        <w:rPr>
          <w:szCs w:val="24"/>
        </w:rPr>
        <w:t xml:space="preserve">täiendavad </w:t>
      </w:r>
      <w:r w:rsidR="00E95429" w:rsidRPr="00ED2AB5">
        <w:rPr>
          <w:szCs w:val="24"/>
        </w:rPr>
        <w:t>seisukohad eelnõu osas</w:t>
      </w:r>
      <w:r w:rsidR="008F35E4">
        <w:rPr>
          <w:szCs w:val="24"/>
        </w:rPr>
        <w:t xml:space="preserve">, mis põhinevad kooskõlastustabeli </w:t>
      </w:r>
      <w:r w:rsidR="00F009C4">
        <w:rPr>
          <w:szCs w:val="24"/>
        </w:rPr>
        <w:t xml:space="preserve">tagasisidel. </w:t>
      </w:r>
    </w:p>
    <w:p w14:paraId="1805B7CF" w14:textId="77777777" w:rsidR="00ED3C08" w:rsidRDefault="00ED3C08" w:rsidP="00ED2AB5">
      <w:pPr>
        <w:jc w:val="both"/>
        <w:rPr>
          <w:szCs w:val="24"/>
        </w:rPr>
      </w:pPr>
    </w:p>
    <w:p w14:paraId="2E397653" w14:textId="77777777" w:rsidR="00D31DD9" w:rsidRDefault="00D31DD9" w:rsidP="00ED2AB5">
      <w:pPr>
        <w:jc w:val="both"/>
        <w:rPr>
          <w:szCs w:val="24"/>
        </w:rPr>
      </w:pPr>
    </w:p>
    <w:p w14:paraId="57B022AD" w14:textId="4CAA5FC1" w:rsidR="0092426E" w:rsidRDefault="0092426E" w:rsidP="00ED3C08">
      <w:pPr>
        <w:jc w:val="both"/>
        <w:rPr>
          <w:b/>
          <w:bCs/>
          <w:szCs w:val="24"/>
        </w:rPr>
      </w:pPr>
      <w:r w:rsidRPr="0092426E">
        <w:rPr>
          <w:b/>
          <w:bCs/>
          <w:szCs w:val="24"/>
        </w:rPr>
        <w:t xml:space="preserve">1. Eelnõu § 3 lg 2 </w:t>
      </w:r>
      <w:r w:rsidR="00931B07">
        <w:rPr>
          <w:b/>
          <w:bCs/>
          <w:szCs w:val="24"/>
        </w:rPr>
        <w:t>ja lg 3</w:t>
      </w:r>
      <w:r w:rsidRPr="0092426E">
        <w:rPr>
          <w:b/>
          <w:bCs/>
          <w:szCs w:val="24"/>
        </w:rPr>
        <w:t>– platvormitöö mõiste</w:t>
      </w:r>
    </w:p>
    <w:p w14:paraId="6922BF37" w14:textId="77777777" w:rsidR="0092426E" w:rsidRPr="0092426E" w:rsidRDefault="0092426E" w:rsidP="00ED3C08">
      <w:pPr>
        <w:jc w:val="both"/>
        <w:rPr>
          <w:b/>
          <w:bCs/>
          <w:szCs w:val="24"/>
        </w:rPr>
      </w:pPr>
    </w:p>
    <w:p w14:paraId="3326397C" w14:textId="406F2AE0" w:rsidR="00A26BB5" w:rsidRPr="00A26BB5" w:rsidRDefault="00672B96" w:rsidP="00A26BB5">
      <w:pPr>
        <w:jc w:val="both"/>
      </w:pPr>
      <w:r>
        <w:rPr>
          <w:szCs w:val="24"/>
        </w:rPr>
        <w:t>Komisjon ei nõustu</w:t>
      </w:r>
      <w:r w:rsidR="00A26BB5">
        <w:rPr>
          <w:szCs w:val="24"/>
        </w:rPr>
        <w:t xml:space="preserve"> kooskõlastustabelis antud tagasisidega. </w:t>
      </w:r>
      <w:r w:rsidR="00A26BB5" w:rsidRPr="00A26BB5">
        <w:t>Platvormitöö on faktiline tegevus, mida saab teha üksnes inimene, mitte juriidiline isik. Seetõttu on mõiste „füüsiline isik” kasutamine õiguslikult täpsem kui üldmõiste „isik”.</w:t>
      </w:r>
      <w:r w:rsidR="00A26BB5">
        <w:t xml:space="preserve"> </w:t>
      </w:r>
      <w:r w:rsidR="00A26BB5">
        <w:rPr>
          <w:szCs w:val="24"/>
        </w:rPr>
        <w:t>O</w:t>
      </w:r>
      <w:r w:rsidR="00A26BB5" w:rsidRPr="00A26BB5">
        <w:rPr>
          <w:szCs w:val="24"/>
        </w:rPr>
        <w:t>suta</w:t>
      </w:r>
      <w:r w:rsidR="00A26BB5">
        <w:rPr>
          <w:szCs w:val="24"/>
        </w:rPr>
        <w:t>me</w:t>
      </w:r>
      <w:r w:rsidR="00A26BB5" w:rsidRPr="00A26BB5">
        <w:rPr>
          <w:szCs w:val="24"/>
        </w:rPr>
        <w:t xml:space="preserve">, et direktiivi (EL) 2024/2831 artikli 2 lõike 1 punktis b kasutatakse ingliskeelses tekstis väljendit </w:t>
      </w:r>
      <w:r w:rsidR="00A26BB5" w:rsidRPr="00A26BB5">
        <w:rPr>
          <w:i/>
          <w:iCs/>
          <w:szCs w:val="24"/>
        </w:rPr>
        <w:t>individual</w:t>
      </w:r>
      <w:r w:rsidR="00A26BB5" w:rsidRPr="00A26BB5">
        <w:rPr>
          <w:szCs w:val="24"/>
        </w:rPr>
        <w:t xml:space="preserve"> ja eestikeelses tekstis mõistet „üksikisik”, mis viitab selgelt inimesele, mitte juriidilisele isikule. Sellest tulenevalt ei ole eelnõu § 3 lõikes 2 kasutatud mõiste „isik” direktiivi terminoloogiaga kooskõlas.</w:t>
      </w:r>
    </w:p>
    <w:p w14:paraId="11623B65" w14:textId="77777777" w:rsidR="00A544CE" w:rsidRDefault="00A544CE" w:rsidP="00A26BB5">
      <w:pPr>
        <w:jc w:val="both"/>
        <w:rPr>
          <w:szCs w:val="24"/>
        </w:rPr>
      </w:pPr>
    </w:p>
    <w:p w14:paraId="5C782AA1" w14:textId="484EC82D" w:rsidR="00A26BB5" w:rsidRPr="00A26BB5" w:rsidRDefault="00A26BB5" w:rsidP="00A26BB5">
      <w:pPr>
        <w:jc w:val="both"/>
        <w:rPr>
          <w:szCs w:val="24"/>
        </w:rPr>
      </w:pPr>
      <w:r w:rsidRPr="00A26BB5">
        <w:rPr>
          <w:szCs w:val="24"/>
        </w:rPr>
        <w:t>Samuti ei välista EL õiguse autonoomsed mõisted siseriiklikus õiguses mõistete täpsemat määratlemist, nagu nähtub ka töötaja mõiste sisustamisest Eesti õiguses. Kui platvormitöö ahelas esineb juriidiline isik, saab ta olla üksnes vahendaja, mitte platvormitöö tegija.</w:t>
      </w:r>
    </w:p>
    <w:p w14:paraId="4791E98F" w14:textId="77777777" w:rsidR="00A544CE" w:rsidRDefault="00A544CE" w:rsidP="00A26BB5">
      <w:pPr>
        <w:jc w:val="both"/>
        <w:rPr>
          <w:szCs w:val="24"/>
        </w:rPr>
      </w:pPr>
    </w:p>
    <w:p w14:paraId="09084180" w14:textId="008D4B64" w:rsidR="00A26BB5" w:rsidRPr="00A26BB5" w:rsidRDefault="00A26BB5" w:rsidP="00A26BB5">
      <w:pPr>
        <w:jc w:val="both"/>
        <w:rPr>
          <w:szCs w:val="24"/>
        </w:rPr>
      </w:pPr>
      <w:r w:rsidRPr="00A26BB5">
        <w:rPr>
          <w:szCs w:val="24"/>
        </w:rPr>
        <w:t>Eelnõu § 3 lõike 2 praeguse sõnastuse kohaselt võib platvormitööd teha ka juriidiline isik, mis ei ole kooskõlas platvormitöö olemusega faktilise tegevusena ega direktiivi eesmärgiga tagada kaitse platvormitööd tegevatele inimestele.</w:t>
      </w:r>
    </w:p>
    <w:p w14:paraId="4F2839BC" w14:textId="77777777" w:rsidR="00A544CE" w:rsidRDefault="00A544CE" w:rsidP="00A26BB5">
      <w:pPr>
        <w:jc w:val="both"/>
        <w:rPr>
          <w:szCs w:val="24"/>
        </w:rPr>
      </w:pPr>
    </w:p>
    <w:p w14:paraId="1CC58B44" w14:textId="7D037F5A" w:rsidR="00A26BB5" w:rsidRPr="00A26BB5" w:rsidRDefault="00A26BB5" w:rsidP="00A544CE">
      <w:pPr>
        <w:jc w:val="both"/>
        <w:rPr>
          <w:szCs w:val="24"/>
        </w:rPr>
      </w:pPr>
      <w:r w:rsidRPr="00A26BB5">
        <w:rPr>
          <w:szCs w:val="24"/>
        </w:rPr>
        <w:t xml:space="preserve">Eeltoodust tulenevalt </w:t>
      </w:r>
      <w:r w:rsidR="00A544CE">
        <w:rPr>
          <w:szCs w:val="24"/>
        </w:rPr>
        <w:t>teeme</w:t>
      </w:r>
      <w:r w:rsidRPr="00A26BB5">
        <w:rPr>
          <w:szCs w:val="24"/>
        </w:rPr>
        <w:t xml:space="preserve"> ettepaneku asendada eelnõu § 3 lõikes 2 sõna „isik” sõnaga „füüsiline isik”.</w:t>
      </w:r>
    </w:p>
    <w:p w14:paraId="72E6589A" w14:textId="617C7948" w:rsidR="0092426E" w:rsidRDefault="0092426E" w:rsidP="00A544CE">
      <w:pPr>
        <w:jc w:val="both"/>
        <w:rPr>
          <w:szCs w:val="24"/>
        </w:rPr>
      </w:pPr>
    </w:p>
    <w:p w14:paraId="357BDB1B" w14:textId="77777777" w:rsidR="0092426E" w:rsidRPr="0092426E" w:rsidRDefault="0092426E" w:rsidP="00A544CE">
      <w:pPr>
        <w:jc w:val="both"/>
        <w:rPr>
          <w:szCs w:val="24"/>
        </w:rPr>
      </w:pPr>
    </w:p>
    <w:p w14:paraId="64A5679F" w14:textId="6DD73A72" w:rsidR="0092426E" w:rsidRDefault="00931B07" w:rsidP="00A544CE">
      <w:pPr>
        <w:jc w:val="both"/>
        <w:rPr>
          <w:b/>
          <w:bCs/>
          <w:szCs w:val="24"/>
        </w:rPr>
      </w:pPr>
      <w:r>
        <w:rPr>
          <w:b/>
          <w:bCs/>
          <w:szCs w:val="24"/>
        </w:rPr>
        <w:t>2</w:t>
      </w:r>
      <w:r w:rsidR="0092426E" w:rsidRPr="0092426E">
        <w:rPr>
          <w:b/>
          <w:bCs/>
          <w:szCs w:val="24"/>
        </w:rPr>
        <w:t>. Eelnõu § 6 lg 1 – töösuhte eelduse erandid</w:t>
      </w:r>
    </w:p>
    <w:p w14:paraId="6F9202CC" w14:textId="77777777" w:rsidR="0092426E" w:rsidRPr="0092426E" w:rsidRDefault="0092426E" w:rsidP="00A544CE">
      <w:pPr>
        <w:jc w:val="both"/>
        <w:rPr>
          <w:b/>
          <w:bCs/>
          <w:szCs w:val="24"/>
        </w:rPr>
      </w:pPr>
    </w:p>
    <w:p w14:paraId="2F66088F" w14:textId="54714BF3" w:rsidR="00B06998" w:rsidRPr="00B06998" w:rsidRDefault="00B06998" w:rsidP="00B06998">
      <w:pPr>
        <w:jc w:val="both"/>
        <w:rPr>
          <w:szCs w:val="24"/>
        </w:rPr>
      </w:pPr>
      <w:r>
        <w:rPr>
          <w:szCs w:val="24"/>
        </w:rPr>
        <w:t>Kooskõlastustabelis olev</w:t>
      </w:r>
      <w:r w:rsidRPr="00B06998">
        <w:rPr>
          <w:szCs w:val="24"/>
        </w:rPr>
        <w:t xml:space="preserve"> vastuväide ei ole põhjendatud.</w:t>
      </w:r>
      <w:r>
        <w:rPr>
          <w:szCs w:val="24"/>
        </w:rPr>
        <w:t xml:space="preserve"> </w:t>
      </w:r>
      <w:r w:rsidRPr="00B06998">
        <w:rPr>
          <w:szCs w:val="24"/>
        </w:rPr>
        <w:t>Direktiivi (EL) 2024/2831 artikli 5 lõike 3 kohaselt ei kohaldata töösuhte õiguslikku eeldust maksu-, kriminaal- ja sotsiaalkaitse menetlustes. Tegemist on direktiivi lähte</w:t>
      </w:r>
      <w:r w:rsidRPr="00B06998">
        <w:rPr>
          <w:szCs w:val="24"/>
        </w:rPr>
        <w:softHyphen/>
        <w:t xml:space="preserve">lahendusega, millest liikmesriik võib küll siseriikliku </w:t>
      </w:r>
      <w:r w:rsidRPr="00B06998">
        <w:rPr>
          <w:szCs w:val="24"/>
        </w:rPr>
        <w:lastRenderedPageBreak/>
        <w:t>õiguse alusel erandina kõrvale kalduda, kuid selline valik eeldab sisulist põhjendamist.</w:t>
      </w:r>
    </w:p>
    <w:p w14:paraId="60420618" w14:textId="77777777" w:rsidR="004A5E93" w:rsidRDefault="004A5E93" w:rsidP="00B06998">
      <w:pPr>
        <w:jc w:val="both"/>
        <w:rPr>
          <w:szCs w:val="24"/>
        </w:rPr>
      </w:pPr>
    </w:p>
    <w:p w14:paraId="7863309C" w14:textId="5FF0A115" w:rsidR="00B06998" w:rsidRPr="00B06998" w:rsidRDefault="00214CD3" w:rsidP="00B06998">
      <w:pPr>
        <w:jc w:val="both"/>
        <w:rPr>
          <w:szCs w:val="24"/>
        </w:rPr>
      </w:pPr>
      <w:r>
        <w:rPr>
          <w:szCs w:val="24"/>
        </w:rPr>
        <w:t>Tööõiguse k</w:t>
      </w:r>
      <w:r w:rsidR="00B06998" w:rsidRPr="00B06998">
        <w:rPr>
          <w:szCs w:val="24"/>
        </w:rPr>
        <w:t xml:space="preserve">omisjon on </w:t>
      </w:r>
      <w:r>
        <w:rPr>
          <w:szCs w:val="24"/>
        </w:rPr>
        <w:t xml:space="preserve">varasemalt </w:t>
      </w:r>
      <w:r w:rsidR="00B06998" w:rsidRPr="00B06998">
        <w:rPr>
          <w:szCs w:val="24"/>
        </w:rPr>
        <w:t>osutanud, et eelnõu sellist erandit ette ei näe ning seletuskirjas puudub põhjendus, miks soovitakse kasutada direktiivis lubatud kõrvalekallet. Pelk viide sellele, et töölepingu seaduse § 1 lõikes 2 sätestatud õiguslik eeldus on Eesti õiguses kehtinud ilma vastavate eranditeta, ei selgita, miks platvormitöö direktiivi ülevõtmisel ei järgita direktiivi eelistatud regulatsiooni.</w:t>
      </w:r>
    </w:p>
    <w:p w14:paraId="31427481" w14:textId="77777777" w:rsidR="00B06998" w:rsidRDefault="00B06998" w:rsidP="00B06998">
      <w:pPr>
        <w:jc w:val="both"/>
        <w:rPr>
          <w:szCs w:val="24"/>
        </w:rPr>
      </w:pPr>
    </w:p>
    <w:p w14:paraId="104CC8A3" w14:textId="197B7BA0" w:rsidR="00B06998" w:rsidRPr="00B06998" w:rsidRDefault="00B06998" w:rsidP="00B06998">
      <w:pPr>
        <w:jc w:val="both"/>
        <w:rPr>
          <w:szCs w:val="24"/>
        </w:rPr>
      </w:pPr>
      <w:r w:rsidRPr="00B06998">
        <w:rPr>
          <w:szCs w:val="24"/>
        </w:rPr>
        <w:t>Eeltoodust tulenevalt on põhjendatud täiendada eelnõu sõnaselge reegliga, et õiguslik eeldus ei kohaldu maksu-, kriminaal- ja sotsiaalkaitse menetlustes.</w:t>
      </w:r>
    </w:p>
    <w:p w14:paraId="1D703D23" w14:textId="77777777" w:rsidR="00B06998" w:rsidRDefault="00B06998" w:rsidP="00B06998">
      <w:pPr>
        <w:jc w:val="both"/>
        <w:rPr>
          <w:szCs w:val="24"/>
        </w:rPr>
      </w:pPr>
    </w:p>
    <w:p w14:paraId="6CB9C158" w14:textId="0E0A96AA" w:rsidR="00B06998" w:rsidRDefault="00B06998" w:rsidP="00B06998">
      <w:pPr>
        <w:jc w:val="both"/>
        <w:rPr>
          <w:szCs w:val="24"/>
        </w:rPr>
      </w:pPr>
      <w:r>
        <w:rPr>
          <w:szCs w:val="24"/>
        </w:rPr>
        <w:t>Tööõiguse k</w:t>
      </w:r>
      <w:r w:rsidRPr="00B06998">
        <w:rPr>
          <w:szCs w:val="24"/>
        </w:rPr>
        <w:t>omisjon teeb ettepaneku sõnastada eelnõu § 6 lõige 2 järgmiselt:</w:t>
      </w:r>
    </w:p>
    <w:p w14:paraId="64FA7F98" w14:textId="77777777" w:rsidR="00B06998" w:rsidRPr="00B06998" w:rsidRDefault="00B06998" w:rsidP="00B06998">
      <w:pPr>
        <w:jc w:val="both"/>
        <w:rPr>
          <w:szCs w:val="24"/>
        </w:rPr>
      </w:pPr>
    </w:p>
    <w:p w14:paraId="2D3B4CA6" w14:textId="77777777" w:rsidR="00B06998" w:rsidRPr="00B06998" w:rsidRDefault="00B06998" w:rsidP="00B06998">
      <w:pPr>
        <w:jc w:val="both"/>
        <w:rPr>
          <w:szCs w:val="24"/>
        </w:rPr>
      </w:pPr>
      <w:r w:rsidRPr="00B06998">
        <w:rPr>
          <w:szCs w:val="24"/>
        </w:rPr>
        <w:t>„Käesoleva paragrahvi lõikes 1 nimetatud eeldus ei rakendu:</w:t>
      </w:r>
    </w:p>
    <w:p w14:paraId="56F8438F" w14:textId="77777777" w:rsidR="00B06998" w:rsidRPr="00B06998" w:rsidRDefault="00B06998" w:rsidP="00B06998">
      <w:pPr>
        <w:numPr>
          <w:ilvl w:val="0"/>
          <w:numId w:val="27"/>
        </w:numPr>
        <w:jc w:val="both"/>
        <w:rPr>
          <w:szCs w:val="24"/>
        </w:rPr>
      </w:pPr>
      <w:r w:rsidRPr="00B06998">
        <w:rPr>
          <w:szCs w:val="24"/>
        </w:rPr>
        <w:t>kui platvorm tõendab, et platvormi ja platvormitöö tegija vahel ei ole töösuhet töölepingu seaduse tähenduses;</w:t>
      </w:r>
    </w:p>
    <w:p w14:paraId="0D44BB31" w14:textId="77777777" w:rsidR="00B06998" w:rsidRPr="00B06998" w:rsidRDefault="00B06998" w:rsidP="00B06998">
      <w:pPr>
        <w:numPr>
          <w:ilvl w:val="0"/>
          <w:numId w:val="27"/>
        </w:numPr>
        <w:jc w:val="both"/>
        <w:rPr>
          <w:szCs w:val="24"/>
        </w:rPr>
      </w:pPr>
      <w:r w:rsidRPr="00B06998">
        <w:rPr>
          <w:szCs w:val="24"/>
        </w:rPr>
        <w:t>kriminaal-, maksu- ja sotsiaalkaitse menetluses.“</w:t>
      </w:r>
    </w:p>
    <w:p w14:paraId="3D17527F" w14:textId="77777777" w:rsidR="004B62F2" w:rsidRDefault="004B62F2" w:rsidP="00ED3C08">
      <w:pPr>
        <w:jc w:val="both"/>
        <w:rPr>
          <w:szCs w:val="24"/>
        </w:rPr>
      </w:pPr>
    </w:p>
    <w:p w14:paraId="0C03DEA5" w14:textId="77777777" w:rsidR="004B62F2" w:rsidRPr="00FE7E78" w:rsidRDefault="004B62F2" w:rsidP="00ED3C08">
      <w:pPr>
        <w:jc w:val="both"/>
        <w:rPr>
          <w:szCs w:val="24"/>
        </w:rPr>
      </w:pPr>
    </w:p>
    <w:p w14:paraId="050E8900" w14:textId="5130617F" w:rsidR="00FE7E78" w:rsidRDefault="00931B07" w:rsidP="00ED3C08">
      <w:pPr>
        <w:jc w:val="both"/>
        <w:rPr>
          <w:b/>
          <w:bCs/>
          <w:szCs w:val="24"/>
        </w:rPr>
      </w:pPr>
      <w:r>
        <w:rPr>
          <w:b/>
          <w:bCs/>
          <w:szCs w:val="24"/>
        </w:rPr>
        <w:t>3</w:t>
      </w:r>
      <w:r w:rsidR="006A3E82" w:rsidRPr="006A3E82">
        <w:rPr>
          <w:b/>
          <w:bCs/>
          <w:szCs w:val="24"/>
        </w:rPr>
        <w:t xml:space="preserve">. </w:t>
      </w:r>
      <w:r w:rsidR="00FE7E78" w:rsidRPr="00FE7E78">
        <w:rPr>
          <w:b/>
          <w:bCs/>
          <w:szCs w:val="24"/>
        </w:rPr>
        <w:t>Eelnõu § 12 lg 1 – TTOS nõuete täitmine</w:t>
      </w:r>
    </w:p>
    <w:p w14:paraId="67F4DE1F" w14:textId="77777777" w:rsidR="006A3E82" w:rsidRPr="00FE7E78" w:rsidRDefault="006A3E82" w:rsidP="00ED3C08">
      <w:pPr>
        <w:jc w:val="both"/>
        <w:rPr>
          <w:b/>
          <w:bCs/>
          <w:szCs w:val="24"/>
        </w:rPr>
      </w:pPr>
    </w:p>
    <w:p w14:paraId="4E560A1B" w14:textId="3A9CBE3F" w:rsidR="008D135F" w:rsidRPr="008D135F" w:rsidRDefault="00231765" w:rsidP="008D135F">
      <w:pPr>
        <w:jc w:val="both"/>
        <w:rPr>
          <w:szCs w:val="24"/>
        </w:rPr>
      </w:pPr>
      <w:r>
        <w:rPr>
          <w:szCs w:val="24"/>
        </w:rPr>
        <w:t xml:space="preserve">Kooskõlastustabelis olev ministeeriumi </w:t>
      </w:r>
      <w:r w:rsidR="008D135F" w:rsidRPr="008D135F">
        <w:rPr>
          <w:szCs w:val="24"/>
        </w:rPr>
        <w:t xml:space="preserve"> seisukoht ei ole veenev. </w:t>
      </w:r>
    </w:p>
    <w:p w14:paraId="3F081317" w14:textId="77777777" w:rsidR="00231765" w:rsidRDefault="00231765" w:rsidP="008D135F">
      <w:pPr>
        <w:jc w:val="both"/>
        <w:rPr>
          <w:szCs w:val="24"/>
        </w:rPr>
      </w:pPr>
    </w:p>
    <w:p w14:paraId="2E8D9A21" w14:textId="77777777" w:rsidR="00C461B9" w:rsidRDefault="008D135F" w:rsidP="008D135F">
      <w:pPr>
        <w:jc w:val="both"/>
        <w:rPr>
          <w:szCs w:val="24"/>
        </w:rPr>
      </w:pPr>
      <w:r w:rsidRPr="008D135F">
        <w:rPr>
          <w:szCs w:val="24"/>
        </w:rPr>
        <w:t>Tööõigus</w:t>
      </w:r>
      <w:r w:rsidR="00214CD3">
        <w:rPr>
          <w:szCs w:val="24"/>
        </w:rPr>
        <w:t xml:space="preserve">e </w:t>
      </w:r>
      <w:r w:rsidRPr="008D135F">
        <w:rPr>
          <w:szCs w:val="24"/>
        </w:rPr>
        <w:t xml:space="preserve">komisjon on </w:t>
      </w:r>
      <w:r w:rsidR="00214CD3">
        <w:rPr>
          <w:szCs w:val="24"/>
        </w:rPr>
        <w:t xml:space="preserve">varasemalt </w:t>
      </w:r>
      <w:r w:rsidRPr="008D135F">
        <w:rPr>
          <w:szCs w:val="24"/>
        </w:rPr>
        <w:t xml:space="preserve">põhjendatult osutanud, et direktiivi art 12 lg 1 ei näe ette kõigi töötervishoiu ja tööohutuse nõuete eranditeta kohaldamist, vaid loetleb platvormi kohustused tööohutuse ja töötervishoiu tagamisel, tuues eraldi esile eeskätt automaatsetest seire- ja otsustussüsteemidest tulenevad riskid. Seevastu eelnõu § 12 lg 1 kohustab rakendama töötervishoiu ja tööohutuse seaduses sätestatud nõudeid üldiselt ja piiranguta. Ainuüksi viide sellele, et TTOS on juba piisavalt paindlik, ei kõrvalda vajadust viia eelnõu sõnastus kooskõlla direktiivi reguleerimisesemega ega põhjenda, miks platvormitöö puhul tuleb kohaldada TTOS-i nõudeid laiemalt, kui direktiiv eeldab. </w:t>
      </w:r>
    </w:p>
    <w:p w14:paraId="11AB2AF1" w14:textId="77777777" w:rsidR="00C461B9" w:rsidRDefault="00C461B9" w:rsidP="008D135F">
      <w:pPr>
        <w:jc w:val="both"/>
        <w:rPr>
          <w:szCs w:val="24"/>
        </w:rPr>
      </w:pPr>
    </w:p>
    <w:p w14:paraId="55CE8C11" w14:textId="095EB750" w:rsidR="008D135F" w:rsidRPr="008D135F" w:rsidRDefault="00BF327C" w:rsidP="008D135F">
      <w:pPr>
        <w:jc w:val="both"/>
        <w:rPr>
          <w:szCs w:val="24"/>
        </w:rPr>
      </w:pPr>
      <w:r>
        <w:rPr>
          <w:szCs w:val="24"/>
        </w:rPr>
        <w:t>K</w:t>
      </w:r>
      <w:r w:rsidR="008D135F" w:rsidRPr="008D135F">
        <w:rPr>
          <w:szCs w:val="24"/>
        </w:rPr>
        <w:t xml:space="preserve">omisjon </w:t>
      </w:r>
      <w:r w:rsidR="00044594">
        <w:rPr>
          <w:szCs w:val="24"/>
        </w:rPr>
        <w:t>leiab</w:t>
      </w:r>
      <w:r w:rsidR="008D135F" w:rsidRPr="008D135F">
        <w:rPr>
          <w:szCs w:val="24"/>
        </w:rPr>
        <w:t>, et platvormitööl esineb kaugtöö tunnuseid, mistõttu on asjakohane sõnastada platvormi kohustused TTOS § 12 lg 1 eeskujul nii, et neid tuleb täita niivõrd, kui see on platvormitöö eripärasid arvestades võimalik. Selline lahendus tagab paremini õigusselguse ja vastab töö tegelikule laadile, selle asemel et jätta vajalikud piirid üksnes tõlgendamise tasandile.</w:t>
      </w:r>
    </w:p>
    <w:p w14:paraId="6FE05558" w14:textId="77777777" w:rsidR="008D135F" w:rsidRPr="008D135F" w:rsidRDefault="008D135F" w:rsidP="008D135F">
      <w:pPr>
        <w:jc w:val="both"/>
        <w:rPr>
          <w:szCs w:val="24"/>
        </w:rPr>
      </w:pPr>
    </w:p>
    <w:p w14:paraId="0C3703C3" w14:textId="090B27EE" w:rsidR="008D135F" w:rsidRPr="008D135F" w:rsidRDefault="008D135F" w:rsidP="008D135F">
      <w:pPr>
        <w:jc w:val="both"/>
        <w:rPr>
          <w:szCs w:val="24"/>
        </w:rPr>
      </w:pPr>
      <w:r w:rsidRPr="008D135F">
        <w:rPr>
          <w:szCs w:val="24"/>
        </w:rPr>
        <w:t>Tööõigus</w:t>
      </w:r>
      <w:r w:rsidR="00BF327C">
        <w:rPr>
          <w:szCs w:val="24"/>
        </w:rPr>
        <w:t xml:space="preserve">e </w:t>
      </w:r>
      <w:r w:rsidRPr="008D135F">
        <w:rPr>
          <w:szCs w:val="24"/>
        </w:rPr>
        <w:t>komisjoni ettepanek on sõnastada eelnõu § 12 lg 1 töötervishoiu ja tööohutuse seaduse nõuete rakendamise kohustuse osas TTOS § 12 lg 1 eeskujul, et sellised kohustused on platvormil niivõrd, kui see on platvormitöö eripärasid arvestades võimalik.</w:t>
      </w:r>
    </w:p>
    <w:p w14:paraId="35980DCE" w14:textId="77777777" w:rsidR="008D135F" w:rsidRPr="008D135F" w:rsidRDefault="008D135F" w:rsidP="008D135F">
      <w:pPr>
        <w:jc w:val="both"/>
        <w:rPr>
          <w:szCs w:val="24"/>
        </w:rPr>
      </w:pPr>
    </w:p>
    <w:p w14:paraId="255679FE" w14:textId="77777777" w:rsidR="008D135F" w:rsidRPr="008D135F" w:rsidRDefault="008D135F" w:rsidP="008D135F">
      <w:pPr>
        <w:jc w:val="both"/>
        <w:rPr>
          <w:szCs w:val="24"/>
        </w:rPr>
      </w:pPr>
      <w:r w:rsidRPr="008D135F">
        <w:rPr>
          <w:szCs w:val="24"/>
        </w:rPr>
        <w:t xml:space="preserve">Direktiivi art 12 lg 1 loetleb platvormi kohustused tööohutuse ja töötervishoiu tagamisel, tõstes esile automaatsetest seire- ja ohutussüsteemidest tulenevaid riske, kuid ei näe ette kõikide töötervishoiu ja tööohutuse alaste nõuete kohaldamist. Eelnõu § 12 lg 1 kohustab aga platvormi rakendama töötervishoiu ja tööohutuse seaduses sätestatud nõudeid eranditeta. </w:t>
      </w:r>
    </w:p>
    <w:p w14:paraId="0192DD2B" w14:textId="77777777" w:rsidR="008D135F" w:rsidRPr="008D135F" w:rsidRDefault="008D135F" w:rsidP="008D135F">
      <w:pPr>
        <w:jc w:val="both"/>
        <w:rPr>
          <w:szCs w:val="24"/>
        </w:rPr>
      </w:pPr>
    </w:p>
    <w:p w14:paraId="7A3B7091" w14:textId="1C404B9B" w:rsidR="008D135F" w:rsidRPr="008D135F" w:rsidRDefault="008D135F" w:rsidP="008D135F">
      <w:pPr>
        <w:jc w:val="both"/>
        <w:rPr>
          <w:szCs w:val="24"/>
        </w:rPr>
      </w:pPr>
      <w:r w:rsidRPr="008D135F">
        <w:rPr>
          <w:szCs w:val="24"/>
        </w:rPr>
        <w:t>Tööõigus</w:t>
      </w:r>
      <w:r w:rsidR="005B15E8">
        <w:rPr>
          <w:szCs w:val="24"/>
        </w:rPr>
        <w:t>e</w:t>
      </w:r>
      <w:r w:rsidR="00BF327C">
        <w:rPr>
          <w:szCs w:val="24"/>
        </w:rPr>
        <w:t xml:space="preserve"> </w:t>
      </w:r>
      <w:r w:rsidRPr="008D135F">
        <w:rPr>
          <w:szCs w:val="24"/>
        </w:rPr>
        <w:t>komisjoni hinnangul esineb platvormitööl kaugtöö tunnuseid, mistõttu on põhjendatud vastaval eeskujul ka töötervishoiu ja tööohutuse seaduse nõuete järgimine niivõrd, kui see on platvormitöö (ja kaugtöö) eripärasid arvestades võimalik.</w:t>
      </w:r>
    </w:p>
    <w:p w14:paraId="6E585E87" w14:textId="77777777" w:rsidR="00D46C4E" w:rsidRDefault="00D46C4E" w:rsidP="00ED3C08">
      <w:pPr>
        <w:jc w:val="both"/>
        <w:rPr>
          <w:szCs w:val="24"/>
        </w:rPr>
      </w:pPr>
    </w:p>
    <w:p w14:paraId="60875967" w14:textId="77777777" w:rsidR="00815538" w:rsidRDefault="00815538" w:rsidP="00ED2AB5">
      <w:pPr>
        <w:jc w:val="both"/>
        <w:rPr>
          <w:b/>
          <w:bCs/>
          <w:szCs w:val="24"/>
        </w:rPr>
      </w:pPr>
    </w:p>
    <w:p w14:paraId="3894BA9D" w14:textId="77777777" w:rsidR="0019780D" w:rsidRPr="00ED2AB5" w:rsidRDefault="0019780D" w:rsidP="00ED2AB5">
      <w:pPr>
        <w:jc w:val="both"/>
        <w:rPr>
          <w:b/>
          <w:bCs/>
          <w:szCs w:val="24"/>
        </w:rPr>
      </w:pPr>
      <w:r w:rsidRPr="00ED2AB5">
        <w:rPr>
          <w:szCs w:val="24"/>
        </w:rPr>
        <w:t>Lugupidamisega</w:t>
      </w:r>
    </w:p>
    <w:p w14:paraId="3CC7F4BF" w14:textId="77777777" w:rsidR="0019780D" w:rsidRPr="00ED2AB5" w:rsidRDefault="0019780D" w:rsidP="00ED2AB5">
      <w:pPr>
        <w:pStyle w:val="Body"/>
        <w:jc w:val="both"/>
        <w:rPr>
          <w:rFonts w:cs="Times New Roman"/>
          <w:i/>
          <w:iCs/>
        </w:rPr>
      </w:pPr>
    </w:p>
    <w:p w14:paraId="5E0529D0" w14:textId="77777777" w:rsidR="0019780D" w:rsidRPr="00ED2AB5" w:rsidRDefault="0019780D" w:rsidP="00ED2AB5">
      <w:pPr>
        <w:pStyle w:val="Body"/>
        <w:jc w:val="both"/>
        <w:rPr>
          <w:rFonts w:cs="Times New Roman"/>
          <w:i/>
          <w:iCs/>
        </w:rPr>
      </w:pPr>
      <w:r w:rsidRPr="00ED2AB5">
        <w:rPr>
          <w:rFonts w:cs="Times New Roman"/>
          <w:i/>
          <w:iCs/>
        </w:rPr>
        <w:t>allkirjastatud digitaalselt</w:t>
      </w:r>
    </w:p>
    <w:p w14:paraId="0721F605" w14:textId="77777777" w:rsidR="0019780D" w:rsidRPr="00ED2AB5" w:rsidRDefault="0019780D" w:rsidP="00ED2AB5">
      <w:pPr>
        <w:pStyle w:val="Body"/>
        <w:jc w:val="both"/>
        <w:rPr>
          <w:rFonts w:cs="Times New Roman"/>
        </w:rPr>
      </w:pPr>
    </w:p>
    <w:p w14:paraId="3CE7CF0B" w14:textId="77777777" w:rsidR="0019780D" w:rsidRPr="00ED2AB5" w:rsidRDefault="0019780D" w:rsidP="00ED2AB5">
      <w:pPr>
        <w:pStyle w:val="Body"/>
        <w:jc w:val="both"/>
        <w:rPr>
          <w:rFonts w:cs="Times New Roman"/>
        </w:rPr>
      </w:pPr>
      <w:r w:rsidRPr="00ED2AB5">
        <w:rPr>
          <w:rFonts w:cs="Times New Roman"/>
        </w:rPr>
        <w:t>Imbi Jürgen</w:t>
      </w:r>
    </w:p>
    <w:p w14:paraId="23FEBFCD" w14:textId="77777777" w:rsidR="0019780D" w:rsidRDefault="0019780D" w:rsidP="00ED2AB5">
      <w:pPr>
        <w:pStyle w:val="Body"/>
        <w:jc w:val="both"/>
        <w:rPr>
          <w:rFonts w:cs="Times New Roman"/>
        </w:rPr>
      </w:pPr>
      <w:r w:rsidRPr="00ED2AB5">
        <w:rPr>
          <w:rFonts w:cs="Times New Roman"/>
        </w:rPr>
        <w:t>Esimees</w:t>
      </w:r>
    </w:p>
    <w:p w14:paraId="00F41233" w14:textId="77777777" w:rsidR="00EB0E37" w:rsidRDefault="00EB0E37" w:rsidP="00ED2AB5">
      <w:pPr>
        <w:pStyle w:val="Body"/>
        <w:jc w:val="both"/>
        <w:rPr>
          <w:rFonts w:cs="Times New Roman"/>
        </w:rPr>
      </w:pPr>
    </w:p>
    <w:p w14:paraId="55E00CDD" w14:textId="77777777" w:rsidR="00EB0E37" w:rsidRDefault="00EB0E37" w:rsidP="00ED2AB5">
      <w:pPr>
        <w:pStyle w:val="Body"/>
        <w:jc w:val="both"/>
        <w:rPr>
          <w:rFonts w:cs="Times New Roman"/>
        </w:rPr>
      </w:pPr>
    </w:p>
    <w:p w14:paraId="174D31EB" w14:textId="77777777" w:rsidR="00EB0E37" w:rsidRDefault="00EB0E37" w:rsidP="00ED2AB5">
      <w:pPr>
        <w:pStyle w:val="Body"/>
        <w:jc w:val="both"/>
        <w:rPr>
          <w:rFonts w:cs="Times New Roman"/>
        </w:rPr>
      </w:pPr>
    </w:p>
    <w:p w14:paraId="7507954F" w14:textId="77777777" w:rsidR="00EB0E37" w:rsidRDefault="00EB0E37" w:rsidP="00ED2AB5">
      <w:pPr>
        <w:pStyle w:val="Body"/>
        <w:jc w:val="both"/>
        <w:rPr>
          <w:rFonts w:cs="Times New Roman"/>
        </w:rPr>
      </w:pPr>
    </w:p>
    <w:p w14:paraId="465933D8" w14:textId="77777777" w:rsidR="00EB0E37" w:rsidRDefault="00EB0E37" w:rsidP="00ED2AB5">
      <w:pPr>
        <w:pStyle w:val="Body"/>
        <w:jc w:val="both"/>
        <w:rPr>
          <w:rFonts w:cs="Times New Roman"/>
        </w:rPr>
      </w:pPr>
    </w:p>
    <w:p w14:paraId="55FE9A6E" w14:textId="77777777" w:rsidR="00EB0E37" w:rsidRDefault="00EB0E37" w:rsidP="00ED2AB5">
      <w:pPr>
        <w:pStyle w:val="Body"/>
        <w:jc w:val="both"/>
        <w:rPr>
          <w:rFonts w:cs="Times New Roman"/>
        </w:rPr>
      </w:pPr>
    </w:p>
    <w:p w14:paraId="318EBAB5" w14:textId="77777777" w:rsidR="00EB0E37" w:rsidRPr="00ED2AB5" w:rsidRDefault="00EB0E37" w:rsidP="00ED2AB5">
      <w:pPr>
        <w:pStyle w:val="Body"/>
        <w:jc w:val="both"/>
        <w:rPr>
          <w:rFonts w:cs="Times New Roman"/>
        </w:rPr>
      </w:pPr>
    </w:p>
    <w:p w14:paraId="441683FB" w14:textId="77777777" w:rsidR="0019780D" w:rsidRPr="00ED2AB5" w:rsidRDefault="0019780D" w:rsidP="00ED2AB5">
      <w:pPr>
        <w:pStyle w:val="Body"/>
        <w:jc w:val="both"/>
        <w:rPr>
          <w:rFonts w:cs="Times New Roman"/>
        </w:rPr>
      </w:pPr>
      <w:r w:rsidRPr="00ED2AB5">
        <w:rPr>
          <w:rFonts w:cs="Times New Roman"/>
        </w:rPr>
        <w:t>Merit Aavekukk-Tamm 6979 253</w:t>
      </w:r>
    </w:p>
    <w:p w14:paraId="09DF826D" w14:textId="46D214D3" w:rsidR="007C1294" w:rsidRPr="00ED2AB5" w:rsidRDefault="0019780D" w:rsidP="00ED2AB5">
      <w:pPr>
        <w:pStyle w:val="Body"/>
        <w:jc w:val="both"/>
        <w:rPr>
          <w:rFonts w:cs="Times New Roman"/>
        </w:rPr>
      </w:pPr>
      <w:r w:rsidRPr="00ED2AB5">
        <w:rPr>
          <w:rFonts w:cs="Times New Roman"/>
        </w:rPr>
        <w:t>merit.aavekukk-tamm@advokatuur.ee</w:t>
      </w:r>
    </w:p>
    <w:sectPr w:rsidR="007C1294" w:rsidRPr="00ED2AB5"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6A68" w14:textId="77777777" w:rsidR="00D14CA4" w:rsidRDefault="00D14CA4" w:rsidP="00F636B5">
      <w:r>
        <w:separator/>
      </w:r>
    </w:p>
  </w:endnote>
  <w:endnote w:type="continuationSeparator" w:id="0">
    <w:p w14:paraId="00CADB7B" w14:textId="77777777" w:rsidR="00D14CA4" w:rsidRDefault="00D14CA4"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439C" w14:textId="77777777" w:rsidR="00D14CA4" w:rsidRDefault="00D14CA4" w:rsidP="00F636B5">
      <w:r>
        <w:separator/>
      </w:r>
    </w:p>
  </w:footnote>
  <w:footnote w:type="continuationSeparator" w:id="0">
    <w:p w14:paraId="2837E221" w14:textId="77777777" w:rsidR="00D14CA4" w:rsidRDefault="00D14CA4"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A57918"/>
    <w:multiLevelType w:val="multilevel"/>
    <w:tmpl w:val="E1565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713AF7"/>
    <w:multiLevelType w:val="hybridMultilevel"/>
    <w:tmpl w:val="912005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AFB7F0E"/>
    <w:multiLevelType w:val="multilevel"/>
    <w:tmpl w:val="9B8008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933438E"/>
    <w:multiLevelType w:val="hybridMultilevel"/>
    <w:tmpl w:val="7B5AA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6A5130"/>
    <w:multiLevelType w:val="multilevel"/>
    <w:tmpl w:val="BEB0EC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34229CE"/>
    <w:multiLevelType w:val="multilevel"/>
    <w:tmpl w:val="DD06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5B4D51"/>
    <w:multiLevelType w:val="hybridMultilevel"/>
    <w:tmpl w:val="B60C7EA0"/>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1"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F7F2A11"/>
    <w:multiLevelType w:val="hybridMultilevel"/>
    <w:tmpl w:val="6DE0B7A4"/>
    <w:lvl w:ilvl="0" w:tplc="CE82F780">
      <w:start w:val="2"/>
      <w:numFmt w:val="bullet"/>
      <w:lvlText w:val="-"/>
      <w:lvlJc w:val="left"/>
      <w:pPr>
        <w:ind w:left="420" w:hanging="360"/>
      </w:pPr>
      <w:rPr>
        <w:rFonts w:ascii="Times New Roman" w:eastAsia="HG Mincho Light J"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4"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5F513B2"/>
    <w:multiLevelType w:val="hybridMultilevel"/>
    <w:tmpl w:val="F5A08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343189"/>
    <w:multiLevelType w:val="hybridMultilevel"/>
    <w:tmpl w:val="FF3656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3768504">
    <w:abstractNumId w:val="11"/>
  </w:num>
  <w:num w:numId="2" w16cid:durableId="1646662979">
    <w:abstractNumId w:val="6"/>
  </w:num>
  <w:num w:numId="3" w16cid:durableId="670370934">
    <w:abstractNumId w:val="14"/>
  </w:num>
  <w:num w:numId="4" w16cid:durableId="268205002">
    <w:abstractNumId w:val="24"/>
  </w:num>
  <w:num w:numId="5" w16cid:durableId="110756145">
    <w:abstractNumId w:val="21"/>
  </w:num>
  <w:num w:numId="6" w16cid:durableId="1722634604">
    <w:abstractNumId w:val="17"/>
  </w:num>
  <w:num w:numId="7" w16cid:durableId="1745568620">
    <w:abstractNumId w:val="22"/>
  </w:num>
  <w:num w:numId="8" w16cid:durableId="771054327">
    <w:abstractNumId w:val="10"/>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5"/>
  </w:num>
  <w:num w:numId="17" w16cid:durableId="1052652794">
    <w:abstractNumId w:val="9"/>
  </w:num>
  <w:num w:numId="18" w16cid:durableId="2137792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269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154259">
    <w:abstractNumId w:val="12"/>
  </w:num>
  <w:num w:numId="21" w16cid:durableId="1557474966">
    <w:abstractNumId w:val="20"/>
  </w:num>
  <w:num w:numId="22" w16cid:durableId="836916839">
    <w:abstractNumId w:val="23"/>
  </w:num>
  <w:num w:numId="23" w16cid:durableId="1644386853">
    <w:abstractNumId w:val="26"/>
  </w:num>
  <w:num w:numId="24" w16cid:durableId="1574513448">
    <w:abstractNumId w:val="18"/>
  </w:num>
  <w:num w:numId="25" w16cid:durableId="403914482">
    <w:abstractNumId w:val="8"/>
  </w:num>
  <w:num w:numId="26" w16cid:durableId="1827355352">
    <w:abstractNumId w:val="16"/>
  </w:num>
  <w:num w:numId="27" w16cid:durableId="325797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3EA5"/>
    <w:rsid w:val="00016530"/>
    <w:rsid w:val="00017824"/>
    <w:rsid w:val="00020876"/>
    <w:rsid w:val="00023C71"/>
    <w:rsid w:val="00027120"/>
    <w:rsid w:val="000303B7"/>
    <w:rsid w:val="00030C84"/>
    <w:rsid w:val="00034835"/>
    <w:rsid w:val="000359CD"/>
    <w:rsid w:val="00044487"/>
    <w:rsid w:val="00044594"/>
    <w:rsid w:val="00055AD5"/>
    <w:rsid w:val="00055BB1"/>
    <w:rsid w:val="00056711"/>
    <w:rsid w:val="000724B6"/>
    <w:rsid w:val="00081B6C"/>
    <w:rsid w:val="00082DDA"/>
    <w:rsid w:val="00084202"/>
    <w:rsid w:val="00093B41"/>
    <w:rsid w:val="00095AD0"/>
    <w:rsid w:val="00096371"/>
    <w:rsid w:val="000B3492"/>
    <w:rsid w:val="000B7AD8"/>
    <w:rsid w:val="000C07F6"/>
    <w:rsid w:val="000C0A09"/>
    <w:rsid w:val="000C43DB"/>
    <w:rsid w:val="000C54F1"/>
    <w:rsid w:val="000C75B3"/>
    <w:rsid w:val="000D0A80"/>
    <w:rsid w:val="000D6865"/>
    <w:rsid w:val="000E2E3A"/>
    <w:rsid w:val="000E6789"/>
    <w:rsid w:val="000F38C2"/>
    <w:rsid w:val="00100DF4"/>
    <w:rsid w:val="0010575C"/>
    <w:rsid w:val="00105B86"/>
    <w:rsid w:val="001162A8"/>
    <w:rsid w:val="00117B0A"/>
    <w:rsid w:val="00127DA3"/>
    <w:rsid w:val="00130A2F"/>
    <w:rsid w:val="00137BFA"/>
    <w:rsid w:val="001427DB"/>
    <w:rsid w:val="00151F19"/>
    <w:rsid w:val="001532C7"/>
    <w:rsid w:val="00157553"/>
    <w:rsid w:val="0016031A"/>
    <w:rsid w:val="001628A5"/>
    <w:rsid w:val="00167D51"/>
    <w:rsid w:val="00181B2F"/>
    <w:rsid w:val="0019780D"/>
    <w:rsid w:val="001B0802"/>
    <w:rsid w:val="001C5387"/>
    <w:rsid w:val="001D024A"/>
    <w:rsid w:val="001D1053"/>
    <w:rsid w:val="001D11DB"/>
    <w:rsid w:val="001D2128"/>
    <w:rsid w:val="001D45C2"/>
    <w:rsid w:val="001D520B"/>
    <w:rsid w:val="001E09FD"/>
    <w:rsid w:val="001E38F4"/>
    <w:rsid w:val="001F434A"/>
    <w:rsid w:val="00204973"/>
    <w:rsid w:val="002055A5"/>
    <w:rsid w:val="00206ABF"/>
    <w:rsid w:val="00214CD3"/>
    <w:rsid w:val="002165B6"/>
    <w:rsid w:val="002224CB"/>
    <w:rsid w:val="002244F5"/>
    <w:rsid w:val="00231765"/>
    <w:rsid w:val="002354B3"/>
    <w:rsid w:val="0023555C"/>
    <w:rsid w:val="00235B89"/>
    <w:rsid w:val="00240D3C"/>
    <w:rsid w:val="0024366C"/>
    <w:rsid w:val="0025512D"/>
    <w:rsid w:val="00256769"/>
    <w:rsid w:val="002845FB"/>
    <w:rsid w:val="00287682"/>
    <w:rsid w:val="002A190D"/>
    <w:rsid w:val="002A6065"/>
    <w:rsid w:val="002B4FCA"/>
    <w:rsid w:val="002B6937"/>
    <w:rsid w:val="002B6A92"/>
    <w:rsid w:val="002C2B55"/>
    <w:rsid w:val="002C7008"/>
    <w:rsid w:val="002C7FDA"/>
    <w:rsid w:val="002D3C37"/>
    <w:rsid w:val="002D54FF"/>
    <w:rsid w:val="002E39A0"/>
    <w:rsid w:val="002F0392"/>
    <w:rsid w:val="00303698"/>
    <w:rsid w:val="0030610A"/>
    <w:rsid w:val="00315CFF"/>
    <w:rsid w:val="00315D7C"/>
    <w:rsid w:val="00316F56"/>
    <w:rsid w:val="0032691A"/>
    <w:rsid w:val="00332266"/>
    <w:rsid w:val="003369BE"/>
    <w:rsid w:val="00337ACF"/>
    <w:rsid w:val="00351797"/>
    <w:rsid w:val="00353D2A"/>
    <w:rsid w:val="003571DF"/>
    <w:rsid w:val="003642F2"/>
    <w:rsid w:val="003650B8"/>
    <w:rsid w:val="00367C28"/>
    <w:rsid w:val="00372D64"/>
    <w:rsid w:val="0037441C"/>
    <w:rsid w:val="00375300"/>
    <w:rsid w:val="00391662"/>
    <w:rsid w:val="003A79EC"/>
    <w:rsid w:val="003B32BC"/>
    <w:rsid w:val="003B4D33"/>
    <w:rsid w:val="003B5DB0"/>
    <w:rsid w:val="003B711F"/>
    <w:rsid w:val="003C09E9"/>
    <w:rsid w:val="003C183F"/>
    <w:rsid w:val="003C510E"/>
    <w:rsid w:val="003C547C"/>
    <w:rsid w:val="003C70F9"/>
    <w:rsid w:val="003D4306"/>
    <w:rsid w:val="003D7DFB"/>
    <w:rsid w:val="003E0F02"/>
    <w:rsid w:val="003F2C57"/>
    <w:rsid w:val="003F3223"/>
    <w:rsid w:val="003F55D3"/>
    <w:rsid w:val="003F571A"/>
    <w:rsid w:val="003F69CE"/>
    <w:rsid w:val="003F74EE"/>
    <w:rsid w:val="003F7EBA"/>
    <w:rsid w:val="00400F19"/>
    <w:rsid w:val="00403D0B"/>
    <w:rsid w:val="00422EA6"/>
    <w:rsid w:val="00425450"/>
    <w:rsid w:val="00435FCE"/>
    <w:rsid w:val="00437F27"/>
    <w:rsid w:val="0044481E"/>
    <w:rsid w:val="00450C77"/>
    <w:rsid w:val="0046030F"/>
    <w:rsid w:val="00460748"/>
    <w:rsid w:val="00462FCF"/>
    <w:rsid w:val="00467C99"/>
    <w:rsid w:val="004732D6"/>
    <w:rsid w:val="00475843"/>
    <w:rsid w:val="0047781E"/>
    <w:rsid w:val="00482399"/>
    <w:rsid w:val="00482DDD"/>
    <w:rsid w:val="00486117"/>
    <w:rsid w:val="004946FF"/>
    <w:rsid w:val="004A43BD"/>
    <w:rsid w:val="004A5E93"/>
    <w:rsid w:val="004A73F3"/>
    <w:rsid w:val="004B62F2"/>
    <w:rsid w:val="004B6958"/>
    <w:rsid w:val="004B70A9"/>
    <w:rsid w:val="004C32E4"/>
    <w:rsid w:val="004C71E1"/>
    <w:rsid w:val="004D2E83"/>
    <w:rsid w:val="004D7194"/>
    <w:rsid w:val="004E071F"/>
    <w:rsid w:val="004E10DF"/>
    <w:rsid w:val="004E2A8E"/>
    <w:rsid w:val="004F17D0"/>
    <w:rsid w:val="004F2604"/>
    <w:rsid w:val="004F4B91"/>
    <w:rsid w:val="0050345A"/>
    <w:rsid w:val="005153AE"/>
    <w:rsid w:val="00530D4D"/>
    <w:rsid w:val="005414E4"/>
    <w:rsid w:val="0056018A"/>
    <w:rsid w:val="005613ED"/>
    <w:rsid w:val="00561FA5"/>
    <w:rsid w:val="00565B34"/>
    <w:rsid w:val="00566C9C"/>
    <w:rsid w:val="00571C6B"/>
    <w:rsid w:val="00575345"/>
    <w:rsid w:val="00575FFF"/>
    <w:rsid w:val="00592D13"/>
    <w:rsid w:val="005A3081"/>
    <w:rsid w:val="005A5FFA"/>
    <w:rsid w:val="005A7619"/>
    <w:rsid w:val="005A7A00"/>
    <w:rsid w:val="005B0099"/>
    <w:rsid w:val="005B15E8"/>
    <w:rsid w:val="005B4781"/>
    <w:rsid w:val="005B7535"/>
    <w:rsid w:val="005C0440"/>
    <w:rsid w:val="005C41BE"/>
    <w:rsid w:val="005C7FFD"/>
    <w:rsid w:val="005D55D8"/>
    <w:rsid w:val="005E18E1"/>
    <w:rsid w:val="005E22C8"/>
    <w:rsid w:val="005E310E"/>
    <w:rsid w:val="005F0EEC"/>
    <w:rsid w:val="0060121B"/>
    <w:rsid w:val="006021FB"/>
    <w:rsid w:val="00611135"/>
    <w:rsid w:val="00612C73"/>
    <w:rsid w:val="00612C7D"/>
    <w:rsid w:val="00616733"/>
    <w:rsid w:val="00625756"/>
    <w:rsid w:val="00642DF8"/>
    <w:rsid w:val="00647B61"/>
    <w:rsid w:val="00647D91"/>
    <w:rsid w:val="006510A1"/>
    <w:rsid w:val="00664190"/>
    <w:rsid w:val="00665C8B"/>
    <w:rsid w:val="00672B96"/>
    <w:rsid w:val="00677494"/>
    <w:rsid w:val="00680B8C"/>
    <w:rsid w:val="006827BD"/>
    <w:rsid w:val="0068285F"/>
    <w:rsid w:val="00684C55"/>
    <w:rsid w:val="006861B0"/>
    <w:rsid w:val="0069284C"/>
    <w:rsid w:val="006931E2"/>
    <w:rsid w:val="00693738"/>
    <w:rsid w:val="00695EE1"/>
    <w:rsid w:val="0069797C"/>
    <w:rsid w:val="006A3E82"/>
    <w:rsid w:val="006B3029"/>
    <w:rsid w:val="006B4427"/>
    <w:rsid w:val="006B5B2D"/>
    <w:rsid w:val="006C18AB"/>
    <w:rsid w:val="006C3C01"/>
    <w:rsid w:val="006E1744"/>
    <w:rsid w:val="006E1D12"/>
    <w:rsid w:val="006E36A8"/>
    <w:rsid w:val="006F33C4"/>
    <w:rsid w:val="006F4144"/>
    <w:rsid w:val="00700345"/>
    <w:rsid w:val="00713E28"/>
    <w:rsid w:val="00723080"/>
    <w:rsid w:val="007268E8"/>
    <w:rsid w:val="007349E9"/>
    <w:rsid w:val="007355C2"/>
    <w:rsid w:val="00736EC4"/>
    <w:rsid w:val="00750855"/>
    <w:rsid w:val="00752DFB"/>
    <w:rsid w:val="00761055"/>
    <w:rsid w:val="00764C0D"/>
    <w:rsid w:val="007725F2"/>
    <w:rsid w:val="007763E8"/>
    <w:rsid w:val="00781F8F"/>
    <w:rsid w:val="00784168"/>
    <w:rsid w:val="00785B94"/>
    <w:rsid w:val="0078736E"/>
    <w:rsid w:val="00796DCE"/>
    <w:rsid w:val="00796FF9"/>
    <w:rsid w:val="007A0F9F"/>
    <w:rsid w:val="007A3458"/>
    <w:rsid w:val="007A3894"/>
    <w:rsid w:val="007B03AA"/>
    <w:rsid w:val="007B0A1F"/>
    <w:rsid w:val="007B6251"/>
    <w:rsid w:val="007C1294"/>
    <w:rsid w:val="007C5836"/>
    <w:rsid w:val="007C5AF3"/>
    <w:rsid w:val="007D10DB"/>
    <w:rsid w:val="007D6DD1"/>
    <w:rsid w:val="007E2F93"/>
    <w:rsid w:val="007E3CF7"/>
    <w:rsid w:val="007E499C"/>
    <w:rsid w:val="007E4F91"/>
    <w:rsid w:val="007E5289"/>
    <w:rsid w:val="007F2DCD"/>
    <w:rsid w:val="007F358E"/>
    <w:rsid w:val="007F430A"/>
    <w:rsid w:val="00803FC5"/>
    <w:rsid w:val="00804E78"/>
    <w:rsid w:val="00805181"/>
    <w:rsid w:val="00812701"/>
    <w:rsid w:val="00813B73"/>
    <w:rsid w:val="00815538"/>
    <w:rsid w:val="00823390"/>
    <w:rsid w:val="008243B7"/>
    <w:rsid w:val="008245D7"/>
    <w:rsid w:val="0083259A"/>
    <w:rsid w:val="0083607D"/>
    <w:rsid w:val="00843131"/>
    <w:rsid w:val="00846AF8"/>
    <w:rsid w:val="00851BD3"/>
    <w:rsid w:val="00856C34"/>
    <w:rsid w:val="0086235E"/>
    <w:rsid w:val="00864014"/>
    <w:rsid w:val="00865EE7"/>
    <w:rsid w:val="0086607C"/>
    <w:rsid w:val="00872B7C"/>
    <w:rsid w:val="0088474E"/>
    <w:rsid w:val="00887F56"/>
    <w:rsid w:val="00890502"/>
    <w:rsid w:val="0089508E"/>
    <w:rsid w:val="00895A4E"/>
    <w:rsid w:val="00895C67"/>
    <w:rsid w:val="008960C2"/>
    <w:rsid w:val="008A0D41"/>
    <w:rsid w:val="008A5914"/>
    <w:rsid w:val="008A5CBE"/>
    <w:rsid w:val="008B1601"/>
    <w:rsid w:val="008B3A07"/>
    <w:rsid w:val="008B3EC3"/>
    <w:rsid w:val="008B4C05"/>
    <w:rsid w:val="008B5BD0"/>
    <w:rsid w:val="008B7034"/>
    <w:rsid w:val="008C1863"/>
    <w:rsid w:val="008C50FC"/>
    <w:rsid w:val="008D135F"/>
    <w:rsid w:val="008D2769"/>
    <w:rsid w:val="008E0E41"/>
    <w:rsid w:val="008E72EF"/>
    <w:rsid w:val="008F35E4"/>
    <w:rsid w:val="008F43AC"/>
    <w:rsid w:val="00910375"/>
    <w:rsid w:val="00914A43"/>
    <w:rsid w:val="0091669D"/>
    <w:rsid w:val="009173C9"/>
    <w:rsid w:val="0092426E"/>
    <w:rsid w:val="009318BB"/>
    <w:rsid w:val="00931B07"/>
    <w:rsid w:val="00936CA5"/>
    <w:rsid w:val="0094334B"/>
    <w:rsid w:val="009435D0"/>
    <w:rsid w:val="00945EEA"/>
    <w:rsid w:val="0095750D"/>
    <w:rsid w:val="00961AC5"/>
    <w:rsid w:val="00970944"/>
    <w:rsid w:val="009750DC"/>
    <w:rsid w:val="00975C75"/>
    <w:rsid w:val="009761BC"/>
    <w:rsid w:val="009911BD"/>
    <w:rsid w:val="009941E7"/>
    <w:rsid w:val="00995853"/>
    <w:rsid w:val="009975BC"/>
    <w:rsid w:val="009B139B"/>
    <w:rsid w:val="009B3C33"/>
    <w:rsid w:val="009C6D78"/>
    <w:rsid w:val="009D1490"/>
    <w:rsid w:val="009D15C9"/>
    <w:rsid w:val="009D60B9"/>
    <w:rsid w:val="009D6272"/>
    <w:rsid w:val="009E40E3"/>
    <w:rsid w:val="009E4B65"/>
    <w:rsid w:val="009E78AD"/>
    <w:rsid w:val="009F2DE9"/>
    <w:rsid w:val="009F2FAE"/>
    <w:rsid w:val="009F625B"/>
    <w:rsid w:val="00A049A6"/>
    <w:rsid w:val="00A077CA"/>
    <w:rsid w:val="00A14D0B"/>
    <w:rsid w:val="00A15A9F"/>
    <w:rsid w:val="00A17313"/>
    <w:rsid w:val="00A207C3"/>
    <w:rsid w:val="00A21E05"/>
    <w:rsid w:val="00A26BB5"/>
    <w:rsid w:val="00A326D2"/>
    <w:rsid w:val="00A420BD"/>
    <w:rsid w:val="00A425EF"/>
    <w:rsid w:val="00A44914"/>
    <w:rsid w:val="00A544CE"/>
    <w:rsid w:val="00A56D65"/>
    <w:rsid w:val="00A657C0"/>
    <w:rsid w:val="00A72B3E"/>
    <w:rsid w:val="00A73F99"/>
    <w:rsid w:val="00A80087"/>
    <w:rsid w:val="00A8305F"/>
    <w:rsid w:val="00A92B30"/>
    <w:rsid w:val="00AA4A02"/>
    <w:rsid w:val="00AA5CF4"/>
    <w:rsid w:val="00AD118E"/>
    <w:rsid w:val="00AD327C"/>
    <w:rsid w:val="00AD4905"/>
    <w:rsid w:val="00AD533F"/>
    <w:rsid w:val="00AE36CD"/>
    <w:rsid w:val="00AF100C"/>
    <w:rsid w:val="00AF16A7"/>
    <w:rsid w:val="00AF7ACE"/>
    <w:rsid w:val="00B013AE"/>
    <w:rsid w:val="00B01460"/>
    <w:rsid w:val="00B0396F"/>
    <w:rsid w:val="00B04B82"/>
    <w:rsid w:val="00B058B3"/>
    <w:rsid w:val="00B06998"/>
    <w:rsid w:val="00B20A38"/>
    <w:rsid w:val="00B248A7"/>
    <w:rsid w:val="00B314A7"/>
    <w:rsid w:val="00B34611"/>
    <w:rsid w:val="00B607BC"/>
    <w:rsid w:val="00B6633E"/>
    <w:rsid w:val="00B66343"/>
    <w:rsid w:val="00B81C29"/>
    <w:rsid w:val="00B90D5B"/>
    <w:rsid w:val="00B97394"/>
    <w:rsid w:val="00BA4528"/>
    <w:rsid w:val="00BA5B4E"/>
    <w:rsid w:val="00BB1263"/>
    <w:rsid w:val="00BB5046"/>
    <w:rsid w:val="00BB728C"/>
    <w:rsid w:val="00BD0D8C"/>
    <w:rsid w:val="00BD4274"/>
    <w:rsid w:val="00BD536A"/>
    <w:rsid w:val="00BE0B9A"/>
    <w:rsid w:val="00BF30CA"/>
    <w:rsid w:val="00BF327C"/>
    <w:rsid w:val="00BF721C"/>
    <w:rsid w:val="00C15046"/>
    <w:rsid w:val="00C35CDA"/>
    <w:rsid w:val="00C373DE"/>
    <w:rsid w:val="00C379DE"/>
    <w:rsid w:val="00C37E43"/>
    <w:rsid w:val="00C461B9"/>
    <w:rsid w:val="00C67B63"/>
    <w:rsid w:val="00C708D6"/>
    <w:rsid w:val="00C76780"/>
    <w:rsid w:val="00C80D63"/>
    <w:rsid w:val="00C820C9"/>
    <w:rsid w:val="00C83BE3"/>
    <w:rsid w:val="00C879C5"/>
    <w:rsid w:val="00C87C5D"/>
    <w:rsid w:val="00CA0090"/>
    <w:rsid w:val="00CB0722"/>
    <w:rsid w:val="00CB0AD3"/>
    <w:rsid w:val="00CC0F5C"/>
    <w:rsid w:val="00CC43F5"/>
    <w:rsid w:val="00CD1613"/>
    <w:rsid w:val="00CD2B7F"/>
    <w:rsid w:val="00CD3C55"/>
    <w:rsid w:val="00CE0179"/>
    <w:rsid w:val="00CE4A41"/>
    <w:rsid w:val="00CE5AFD"/>
    <w:rsid w:val="00CE68E2"/>
    <w:rsid w:val="00CF13D5"/>
    <w:rsid w:val="00CF392C"/>
    <w:rsid w:val="00CF7154"/>
    <w:rsid w:val="00D01CD1"/>
    <w:rsid w:val="00D02F88"/>
    <w:rsid w:val="00D03BB3"/>
    <w:rsid w:val="00D06765"/>
    <w:rsid w:val="00D117E9"/>
    <w:rsid w:val="00D14CA4"/>
    <w:rsid w:val="00D202CB"/>
    <w:rsid w:val="00D242B8"/>
    <w:rsid w:val="00D301D0"/>
    <w:rsid w:val="00D31A7E"/>
    <w:rsid w:val="00D31DD9"/>
    <w:rsid w:val="00D37CB6"/>
    <w:rsid w:val="00D41A07"/>
    <w:rsid w:val="00D46C4E"/>
    <w:rsid w:val="00D475A1"/>
    <w:rsid w:val="00D50661"/>
    <w:rsid w:val="00D50ACD"/>
    <w:rsid w:val="00D54035"/>
    <w:rsid w:val="00D6271C"/>
    <w:rsid w:val="00D663B1"/>
    <w:rsid w:val="00D700F4"/>
    <w:rsid w:val="00D70C08"/>
    <w:rsid w:val="00D72C6F"/>
    <w:rsid w:val="00D74246"/>
    <w:rsid w:val="00D7596B"/>
    <w:rsid w:val="00D810C3"/>
    <w:rsid w:val="00D8321D"/>
    <w:rsid w:val="00D85DC5"/>
    <w:rsid w:val="00D9321E"/>
    <w:rsid w:val="00D94809"/>
    <w:rsid w:val="00D94E7F"/>
    <w:rsid w:val="00DB46E1"/>
    <w:rsid w:val="00DB488B"/>
    <w:rsid w:val="00DC1128"/>
    <w:rsid w:val="00DD1165"/>
    <w:rsid w:val="00DD6510"/>
    <w:rsid w:val="00DF2053"/>
    <w:rsid w:val="00DF3837"/>
    <w:rsid w:val="00E017B8"/>
    <w:rsid w:val="00E019EA"/>
    <w:rsid w:val="00E14A43"/>
    <w:rsid w:val="00E17F60"/>
    <w:rsid w:val="00E21700"/>
    <w:rsid w:val="00E235BE"/>
    <w:rsid w:val="00E23C7E"/>
    <w:rsid w:val="00E3299C"/>
    <w:rsid w:val="00E35FB3"/>
    <w:rsid w:val="00E518BD"/>
    <w:rsid w:val="00E54AE3"/>
    <w:rsid w:val="00E754D0"/>
    <w:rsid w:val="00E75559"/>
    <w:rsid w:val="00E76BE8"/>
    <w:rsid w:val="00E7702D"/>
    <w:rsid w:val="00E829D2"/>
    <w:rsid w:val="00E84DA0"/>
    <w:rsid w:val="00E93FE0"/>
    <w:rsid w:val="00E95429"/>
    <w:rsid w:val="00E9706B"/>
    <w:rsid w:val="00EA6561"/>
    <w:rsid w:val="00EB0E37"/>
    <w:rsid w:val="00EB458C"/>
    <w:rsid w:val="00EC75B0"/>
    <w:rsid w:val="00ED1118"/>
    <w:rsid w:val="00ED2AB5"/>
    <w:rsid w:val="00ED3C08"/>
    <w:rsid w:val="00ED54C4"/>
    <w:rsid w:val="00EE5895"/>
    <w:rsid w:val="00EF0D9F"/>
    <w:rsid w:val="00EF4177"/>
    <w:rsid w:val="00F009C4"/>
    <w:rsid w:val="00F01A0F"/>
    <w:rsid w:val="00F03C0C"/>
    <w:rsid w:val="00F153A3"/>
    <w:rsid w:val="00F17C88"/>
    <w:rsid w:val="00F40E0E"/>
    <w:rsid w:val="00F44D85"/>
    <w:rsid w:val="00F45B66"/>
    <w:rsid w:val="00F60DA1"/>
    <w:rsid w:val="00F618F3"/>
    <w:rsid w:val="00F61A5B"/>
    <w:rsid w:val="00F636B5"/>
    <w:rsid w:val="00F667DF"/>
    <w:rsid w:val="00F7171E"/>
    <w:rsid w:val="00F730D5"/>
    <w:rsid w:val="00F7685D"/>
    <w:rsid w:val="00F77979"/>
    <w:rsid w:val="00F81A69"/>
    <w:rsid w:val="00F93C68"/>
    <w:rsid w:val="00F9415F"/>
    <w:rsid w:val="00FA1AC9"/>
    <w:rsid w:val="00FB5489"/>
    <w:rsid w:val="00FB6D1B"/>
    <w:rsid w:val="00FC5EBB"/>
    <w:rsid w:val="00FD1755"/>
    <w:rsid w:val="00FD1CD5"/>
    <w:rsid w:val="00FE7E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unhideWhenUsed/>
    <w:rsid w:val="005A3081"/>
    <w:rPr>
      <w:sz w:val="20"/>
    </w:rPr>
  </w:style>
  <w:style w:type="character" w:customStyle="1" w:styleId="FootnoteTextChar">
    <w:name w:val="Footnote Text Char"/>
    <w:basedOn w:val="DefaultParagraphFont"/>
    <w:link w:val="FootnoteText"/>
    <w:uiPriority w:val="99"/>
    <w:qFormat/>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nhideWhenUsed/>
    <w:rsid w:val="005A3081"/>
    <w:rPr>
      <w:vertAlign w:val="superscript"/>
    </w:rPr>
  </w:style>
  <w:style w:type="character" w:customStyle="1" w:styleId="Allmrkusetekst1">
    <w:name w:val="Allmärkuse tekst1"/>
    <w:qFormat/>
    <w:rsid w:val="00A15A9F"/>
  </w:style>
  <w:style w:type="paragraph" w:styleId="NormalWeb">
    <w:name w:val="Normal (Web)"/>
    <w:basedOn w:val="Normal"/>
    <w:uiPriority w:val="99"/>
    <w:semiHidden/>
    <w:unhideWhenUsed/>
    <w:rsid w:val="00A26BB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777</Words>
  <Characters>4507</Characters>
  <Application>Microsoft Office Word</Application>
  <DocSecurity>0</DocSecurity>
  <Lines>37</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73</cp:revision>
  <cp:lastPrinted>2024-09-26T08:29:00Z</cp:lastPrinted>
  <dcterms:created xsi:type="dcterms:W3CDTF">2026-03-25T13:07:00Z</dcterms:created>
  <dcterms:modified xsi:type="dcterms:W3CDTF">2026-05-27T13:21:00Z</dcterms:modified>
</cp:coreProperties>
</file>